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Ind w:w="1418" w:type="dxa"/>
        <w:tblCellMar>
          <w:left w:w="0" w:type="dxa"/>
          <w:right w:w="0" w:type="dxa"/>
        </w:tblCellMar>
        <w:tblLook w:val="04A0" w:firstRow="1" w:lastRow="0" w:firstColumn="1" w:lastColumn="0" w:noHBand="0" w:noVBand="1"/>
      </w:tblPr>
      <w:tblGrid>
        <w:gridCol w:w="12144"/>
      </w:tblGrid>
      <w:tr w:rsidR="002344FF" w:rsidRPr="002344FF" w:rsidTr="00E143E6">
        <w:trPr>
          <w:tblCellSpacing w:w="0" w:type="dxa"/>
        </w:trPr>
        <w:tc>
          <w:tcPr>
            <w:tcW w:w="0" w:type="auto"/>
            <w:hideMark/>
          </w:tcPr>
          <w:tbl>
            <w:tblPr>
              <w:tblW w:w="12144" w:type="dxa"/>
              <w:jc w:val="center"/>
              <w:tblCellSpacing w:w="0" w:type="dxa"/>
              <w:tblCellMar>
                <w:left w:w="0" w:type="dxa"/>
                <w:right w:w="0" w:type="dxa"/>
              </w:tblCellMar>
              <w:tblLook w:val="04A0" w:firstRow="1" w:lastRow="0" w:firstColumn="1" w:lastColumn="0" w:noHBand="0" w:noVBand="1"/>
            </w:tblPr>
            <w:tblGrid>
              <w:gridCol w:w="78"/>
              <w:gridCol w:w="12066"/>
            </w:tblGrid>
            <w:tr w:rsidR="002344FF" w:rsidRPr="002344FF" w:rsidTr="00E143E6">
              <w:trPr>
                <w:gridBefore w:val="1"/>
                <w:wBefore w:w="105" w:type="dxa"/>
                <w:tblCellSpacing w:w="0" w:type="dxa"/>
                <w:jc w:val="center"/>
              </w:trPr>
              <w:tc>
                <w:tcPr>
                  <w:tcW w:w="0" w:type="auto"/>
                  <w:tcMar>
                    <w:top w:w="225"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786"/>
                    <w:gridCol w:w="3280"/>
                  </w:tblGrid>
                  <w:tr w:rsidR="002344FF" w:rsidRPr="002344FF">
                    <w:trPr>
                      <w:tblCellSpacing w:w="0" w:type="dxa"/>
                    </w:trPr>
                    <w:tc>
                      <w:tcPr>
                        <w:tcW w:w="7500" w:type="dxa"/>
                        <w:vAlign w:val="center"/>
                        <w:hideMark/>
                      </w:tcPr>
                      <w:p w:rsidR="00D14048" w:rsidRDefault="00D14048">
                        <w:bookmarkStart w:id="0" w:name="_GoBack"/>
                        <w:bookmarkEnd w:id="0"/>
                      </w:p>
                      <w:tbl>
                        <w:tblPr>
                          <w:tblW w:w="8786" w:type="dxa"/>
                          <w:tblCellSpacing w:w="0" w:type="dxa"/>
                          <w:tblCellMar>
                            <w:left w:w="0" w:type="dxa"/>
                            <w:right w:w="0" w:type="dxa"/>
                          </w:tblCellMar>
                          <w:tblLook w:val="04A0" w:firstRow="1" w:lastRow="0" w:firstColumn="1" w:lastColumn="0" w:noHBand="0" w:noVBand="1"/>
                        </w:tblPr>
                        <w:tblGrid>
                          <w:gridCol w:w="8786"/>
                        </w:tblGrid>
                        <w:tr w:rsidR="002344FF" w:rsidRPr="002344FF" w:rsidTr="00E143E6">
                          <w:trPr>
                            <w:tblCellSpacing w:w="0" w:type="dxa"/>
                          </w:trPr>
                          <w:tc>
                            <w:tcPr>
                              <w:tcW w:w="8786" w:type="dxa"/>
                              <w:vAlign w:val="center"/>
                              <w:hideMark/>
                            </w:tcPr>
                            <w:p w:rsidR="002344FF" w:rsidRPr="002344FF" w:rsidRDefault="00E143E6" w:rsidP="00E143E6">
                              <w:pPr>
                                <w:spacing w:after="0" w:line="480" w:lineRule="auto"/>
                                <w:textAlignment w:val="top"/>
                                <w:rPr>
                                  <w:rFonts w:ascii="Arial" w:eastAsia="Times New Roman" w:hAnsi="Arial" w:cs="Arial"/>
                                  <w:color w:val="0653A2"/>
                                  <w:sz w:val="30"/>
                                  <w:szCs w:val="30"/>
                                  <w:lang w:eastAsia="de-CH"/>
                                </w:rPr>
                              </w:pPr>
                              <w:r w:rsidRPr="002344FF">
                                <w:rPr>
                                  <w:rFonts w:ascii="Arial" w:eastAsia="Times New Roman" w:hAnsi="Arial" w:cs="Arial"/>
                                  <w:noProof/>
                                  <w:color w:val="0000FF"/>
                                  <w:sz w:val="21"/>
                                  <w:szCs w:val="21"/>
                                  <w:lang w:eastAsia="de-CH"/>
                                </w:rPr>
                                <w:drawing>
                                  <wp:anchor distT="0" distB="0" distL="114300" distR="114300" simplePos="0" relativeHeight="251659264" behindDoc="1" locked="0" layoutInCell="1" allowOverlap="1" wp14:anchorId="38B18E36" wp14:editId="0EA98C7B">
                                    <wp:simplePos x="0" y="0"/>
                                    <wp:positionH relativeFrom="column">
                                      <wp:posOffset>-1125855</wp:posOffset>
                                    </wp:positionH>
                                    <wp:positionV relativeFrom="paragraph">
                                      <wp:posOffset>-360045</wp:posOffset>
                                    </wp:positionV>
                                    <wp:extent cx="939165" cy="939165"/>
                                    <wp:effectExtent l="0" t="0" r="0" b="0"/>
                                    <wp:wrapTight wrapText="bothSides">
                                      <wp:wrapPolygon edited="0">
                                        <wp:start x="0" y="0"/>
                                        <wp:lineTo x="0" y="21030"/>
                                        <wp:lineTo x="21030" y="21030"/>
                                        <wp:lineTo x="21030" y="0"/>
                                        <wp:lineTo x="0" y="0"/>
                                      </wp:wrapPolygon>
                                    </wp:wrapTight>
                                    <wp:docPr id="1" name="Bild 6" descr="http://www.asiact.org/downloads/Emails/Images/asa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iact.org/downloads/Emails/Images/asa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4FF" w:rsidRPr="002344FF">
                                <w:rPr>
                                  <w:rFonts w:ascii="Arial" w:eastAsia="Times New Roman" w:hAnsi="Arial" w:cs="Arial"/>
                                  <w:color w:val="0653A2"/>
                                  <w:sz w:val="30"/>
                                  <w:szCs w:val="30"/>
                                  <w:lang w:eastAsia="de-CH"/>
                                </w:rPr>
                                <w:t xml:space="preserve">Erzengel </w:t>
                              </w:r>
                              <w:proofErr w:type="spellStart"/>
                              <w:r w:rsidR="002344FF" w:rsidRPr="002344FF">
                                <w:rPr>
                                  <w:rFonts w:ascii="Arial" w:eastAsia="Times New Roman" w:hAnsi="Arial" w:cs="Arial"/>
                                  <w:color w:val="0653A2"/>
                                  <w:sz w:val="30"/>
                                  <w:szCs w:val="30"/>
                                  <w:lang w:eastAsia="de-CH"/>
                                </w:rPr>
                                <w:t>Raguel</w:t>
                              </w:r>
                              <w:proofErr w:type="spellEnd"/>
                              <w:r w:rsidR="002344FF" w:rsidRPr="002344FF">
                                <w:rPr>
                                  <w:rFonts w:ascii="Arial" w:eastAsia="Times New Roman" w:hAnsi="Arial" w:cs="Arial"/>
                                  <w:color w:val="0653A2"/>
                                  <w:sz w:val="30"/>
                                  <w:szCs w:val="30"/>
                                  <w:lang w:eastAsia="de-CH"/>
                                </w:rPr>
                                <w:t xml:space="preserve"> </w:t>
                              </w:r>
                            </w:p>
                            <w:p w:rsidR="002344FF" w:rsidRPr="002344FF" w:rsidRDefault="002344FF" w:rsidP="00E143E6">
                              <w:pPr>
                                <w:spacing w:after="0" w:line="480" w:lineRule="auto"/>
                                <w:textAlignment w:val="top"/>
                                <w:rPr>
                                  <w:rFonts w:ascii="Arial" w:eastAsia="Times New Roman" w:hAnsi="Arial" w:cs="Arial"/>
                                  <w:color w:val="0653A2"/>
                                  <w:sz w:val="24"/>
                                  <w:szCs w:val="24"/>
                                  <w:lang w:eastAsia="de-CH"/>
                                </w:rPr>
                              </w:pPr>
                              <w:r w:rsidRPr="002344FF">
                                <w:rPr>
                                  <w:rFonts w:ascii="Arial" w:eastAsia="Times New Roman" w:hAnsi="Arial" w:cs="Arial"/>
                                  <w:color w:val="0653A2"/>
                                  <w:sz w:val="24"/>
                                  <w:szCs w:val="24"/>
                                  <w:lang w:eastAsia="de-CH"/>
                                </w:rPr>
                                <w:t xml:space="preserve">B114 - Mittelkoralle / Tiefmagenta </w:t>
                              </w:r>
                            </w:p>
                            <w:p w:rsidR="002344FF" w:rsidRPr="002344FF" w:rsidRDefault="002344FF" w:rsidP="00E143E6">
                              <w:pPr>
                                <w:spacing w:after="0" w:line="480" w:lineRule="auto"/>
                                <w:textAlignment w:val="top"/>
                                <w:rPr>
                                  <w:rFonts w:ascii="Arial" w:eastAsia="Times New Roman" w:hAnsi="Arial" w:cs="Arial"/>
                                  <w:color w:val="0653A2"/>
                                  <w:sz w:val="24"/>
                                  <w:szCs w:val="24"/>
                                  <w:lang w:eastAsia="de-CH"/>
                                </w:rPr>
                              </w:pPr>
                              <w:r w:rsidRPr="002344FF">
                                <w:rPr>
                                  <w:rFonts w:ascii="Arial" w:eastAsia="Times New Roman" w:hAnsi="Arial" w:cs="Arial"/>
                                  <w:color w:val="0653A2"/>
                                  <w:sz w:val="24"/>
                                  <w:szCs w:val="24"/>
                                  <w:lang w:eastAsia="de-CH"/>
                                </w:rPr>
                                <w:t xml:space="preserve">Geboren um 11:11 </w:t>
                              </w:r>
                              <w:r w:rsidR="00D14048">
                                <w:rPr>
                                  <w:rFonts w:ascii="Arial" w:eastAsia="Times New Roman" w:hAnsi="Arial" w:cs="Arial"/>
                                  <w:color w:val="0653A2"/>
                                  <w:sz w:val="24"/>
                                  <w:szCs w:val="24"/>
                                  <w:lang w:eastAsia="de-CH"/>
                                </w:rPr>
                                <w:t>Uhr</w:t>
                              </w:r>
                              <w:r w:rsidRPr="002344FF">
                                <w:rPr>
                                  <w:rFonts w:ascii="Arial" w:eastAsia="Times New Roman" w:hAnsi="Arial" w:cs="Arial"/>
                                  <w:color w:val="0653A2"/>
                                  <w:sz w:val="24"/>
                                  <w:szCs w:val="24"/>
                                  <w:lang w:eastAsia="de-CH"/>
                                </w:rPr>
                                <w:t xml:space="preserve"> am 11. </w:t>
                              </w:r>
                              <w:r w:rsidR="00E143E6">
                                <w:rPr>
                                  <w:rFonts w:ascii="Arial" w:eastAsia="Times New Roman" w:hAnsi="Arial" w:cs="Arial"/>
                                  <w:color w:val="0653A2"/>
                                  <w:sz w:val="24"/>
                                  <w:szCs w:val="24"/>
                                  <w:lang w:eastAsia="de-CH"/>
                                </w:rPr>
                                <w:t>N</w:t>
                              </w:r>
                              <w:r w:rsidRPr="002344FF">
                                <w:rPr>
                                  <w:rFonts w:ascii="Arial" w:eastAsia="Times New Roman" w:hAnsi="Arial" w:cs="Arial"/>
                                  <w:color w:val="0653A2"/>
                                  <w:sz w:val="24"/>
                                  <w:szCs w:val="24"/>
                                  <w:lang w:eastAsia="de-CH"/>
                                </w:rPr>
                                <w:t xml:space="preserve">ovember 2015 </w:t>
                              </w:r>
                            </w:p>
                            <w:p w:rsidR="002344FF" w:rsidRPr="002344FF" w:rsidRDefault="00E143E6" w:rsidP="00E143E6">
                              <w:pPr>
                                <w:spacing w:after="100" w:afterAutospacing="1" w:line="480" w:lineRule="auto"/>
                                <w:rPr>
                                  <w:rFonts w:ascii="Arial" w:eastAsia="Times New Roman" w:hAnsi="Arial" w:cs="Arial"/>
                                  <w:color w:val="606060"/>
                                  <w:sz w:val="21"/>
                                  <w:szCs w:val="21"/>
                                  <w:lang w:eastAsia="de-CH"/>
                                </w:rPr>
                              </w:pPr>
                              <w:r w:rsidRPr="002344FF">
                                <w:rPr>
                                  <w:rFonts w:ascii="Arial" w:eastAsia="Times New Roman" w:hAnsi="Arial" w:cs="Arial"/>
                                  <w:noProof/>
                                  <w:color w:val="606060"/>
                                  <w:sz w:val="21"/>
                                  <w:szCs w:val="21"/>
                                  <w:lang w:eastAsia="de-CH"/>
                                </w:rPr>
                                <w:drawing>
                                  <wp:anchor distT="0" distB="0" distL="114300" distR="114300" simplePos="0" relativeHeight="251658240" behindDoc="1" locked="0" layoutInCell="1" allowOverlap="1" wp14:anchorId="2911CB0E" wp14:editId="2AA79D06">
                                    <wp:simplePos x="0" y="0"/>
                                    <wp:positionH relativeFrom="column">
                                      <wp:posOffset>4981575</wp:posOffset>
                                    </wp:positionH>
                                    <wp:positionV relativeFrom="page">
                                      <wp:posOffset>1212215</wp:posOffset>
                                    </wp:positionV>
                                    <wp:extent cx="916305" cy="1417320"/>
                                    <wp:effectExtent l="0" t="0" r="0" b="0"/>
                                    <wp:wrapThrough wrapText="bothSides">
                                      <wp:wrapPolygon edited="0">
                                        <wp:start x="0" y="0"/>
                                        <wp:lineTo x="0" y="21194"/>
                                        <wp:lineTo x="21106" y="21194"/>
                                        <wp:lineTo x="21106" y="0"/>
                                        <wp:lineTo x="0" y="0"/>
                                      </wp:wrapPolygon>
                                    </wp:wrapThrough>
                                    <wp:docPr id="4" name="Bild 9" descr="http://www.asiact.org/downloads/b114/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iact.org/downloads/b114/bott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30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4FF" w:rsidRPr="002344FF">
                                <w:rPr>
                                  <w:rFonts w:ascii="Arial" w:eastAsia="Times New Roman" w:hAnsi="Arial" w:cs="Arial"/>
                                  <w:color w:val="606060"/>
                                  <w:sz w:val="21"/>
                                  <w:szCs w:val="21"/>
                                  <w:lang w:eastAsia="de-CH"/>
                                </w:rPr>
                                <w:t xml:space="preserve">Der Hauptfokus von B114 liegt auf zwischenmenschlichen Beziehungen, die Art und Weise, wie wir miteinander in Beziehung treten. Es gibt so wenige Menschen, die einander einfach so sein lassen können, wie sie sind. Vielleicht ist das deswegen so, weil wir uns oft selbst nicht so sein lassen können, wie wir sind, und so wird es schwierig, keine Erwartungen voneinander zu haben. In diesem Sinne können wir auf </w:t>
                              </w:r>
                              <w:proofErr w:type="spellStart"/>
                              <w:r w:rsidR="002344FF" w:rsidRPr="002344FF">
                                <w:rPr>
                                  <w:rFonts w:ascii="Arial" w:eastAsia="Times New Roman" w:hAnsi="Arial" w:cs="Arial"/>
                                  <w:color w:val="606060"/>
                                  <w:sz w:val="21"/>
                                  <w:szCs w:val="21"/>
                                  <w:lang w:eastAsia="de-CH"/>
                                </w:rPr>
                                <w:t>Raguel</w:t>
                              </w:r>
                              <w:proofErr w:type="spellEnd"/>
                              <w:r w:rsidR="002344FF" w:rsidRPr="002344FF">
                                <w:rPr>
                                  <w:rFonts w:ascii="Arial" w:eastAsia="Times New Roman" w:hAnsi="Arial" w:cs="Arial"/>
                                  <w:color w:val="606060"/>
                                  <w:sz w:val="21"/>
                                  <w:szCs w:val="21"/>
                                  <w:lang w:eastAsia="de-CH"/>
                                </w:rPr>
                                <w:t xml:space="preserve"> als Vermittler vertrauen, der Harmonie unterstützt und wiederherstellt, wo es Disharmonie gegeben hat. In der heilen. </w:t>
                              </w:r>
                              <w:proofErr w:type="spellStart"/>
                              <w:r w:rsidR="002344FF" w:rsidRPr="002344FF">
                                <w:rPr>
                                  <w:rFonts w:ascii="Arial" w:eastAsia="Times New Roman" w:hAnsi="Arial" w:cs="Arial"/>
                                  <w:color w:val="606060"/>
                                  <w:sz w:val="21"/>
                                  <w:szCs w:val="21"/>
                                  <w:lang w:eastAsia="de-CH"/>
                                </w:rPr>
                                <w:t>Raguel</w:t>
                              </w:r>
                              <w:proofErr w:type="spellEnd"/>
                              <w:r w:rsidR="002344FF" w:rsidRPr="002344FF">
                                <w:rPr>
                                  <w:rFonts w:ascii="Arial" w:eastAsia="Times New Roman" w:hAnsi="Arial" w:cs="Arial"/>
                                  <w:color w:val="606060"/>
                                  <w:sz w:val="21"/>
                                  <w:szCs w:val="21"/>
                                  <w:lang w:eastAsia="de-CH"/>
                                </w:rPr>
                                <w:t xml:space="preserve"> kümmert sich um die Beziehungen zwischen Engeln und Menschen. Es wird erwähnt, dass </w:t>
                              </w:r>
                              <w:proofErr w:type="spellStart"/>
                              <w:r w:rsidR="002344FF" w:rsidRPr="002344FF">
                                <w:rPr>
                                  <w:rFonts w:ascii="Arial" w:eastAsia="Times New Roman" w:hAnsi="Arial" w:cs="Arial"/>
                                  <w:color w:val="606060"/>
                                  <w:sz w:val="21"/>
                                  <w:szCs w:val="21"/>
                                  <w:lang w:eastAsia="de-CH"/>
                                </w:rPr>
                                <w:t>Raguel</w:t>
                              </w:r>
                              <w:proofErr w:type="spellEnd"/>
                              <w:r w:rsidR="002344FF" w:rsidRPr="002344FF">
                                <w:rPr>
                                  <w:rFonts w:ascii="Arial" w:eastAsia="Times New Roman" w:hAnsi="Arial" w:cs="Arial"/>
                                  <w:color w:val="606060"/>
                                  <w:sz w:val="21"/>
                                  <w:szCs w:val="21"/>
                                  <w:lang w:eastAsia="de-CH"/>
                                </w:rPr>
                                <w:t xml:space="preserve"> ein Erzengel ist, der die Arbeit und Bereiche anderer Erzengel überwacht. </w:t>
                              </w:r>
                            </w:p>
                          </w:tc>
                        </w:tr>
                      </w:tbl>
                      <w:p w:rsidR="002344FF" w:rsidRPr="002344FF" w:rsidRDefault="002344FF" w:rsidP="00E143E6">
                        <w:pPr>
                          <w:spacing w:after="0" w:line="480" w:lineRule="auto"/>
                          <w:rPr>
                            <w:rFonts w:ascii="Arial" w:eastAsia="Times New Roman" w:hAnsi="Arial" w:cs="Arial"/>
                            <w:color w:val="606060"/>
                            <w:sz w:val="21"/>
                            <w:szCs w:val="21"/>
                            <w:lang w:eastAsia="de-CH"/>
                          </w:rPr>
                        </w:pPr>
                      </w:p>
                    </w:tc>
                    <w:tc>
                      <w:tcPr>
                        <w:tcW w:w="4500" w:type="dxa"/>
                        <w:vAlign w:val="center"/>
                        <w:hideMark/>
                      </w:tcPr>
                      <w:p w:rsidR="002344FF" w:rsidRPr="002344FF" w:rsidRDefault="002344FF" w:rsidP="00E143E6">
                        <w:pPr>
                          <w:spacing w:after="0" w:line="480" w:lineRule="auto"/>
                          <w:jc w:val="center"/>
                          <w:rPr>
                            <w:rFonts w:ascii="Arial" w:eastAsia="Times New Roman" w:hAnsi="Arial" w:cs="Arial"/>
                            <w:color w:val="606060"/>
                            <w:sz w:val="21"/>
                            <w:szCs w:val="21"/>
                            <w:lang w:eastAsia="de-CH"/>
                          </w:rPr>
                        </w:pPr>
                      </w:p>
                    </w:tc>
                  </w:tr>
                </w:tbl>
                <w:p w:rsidR="002344FF" w:rsidRPr="002344FF" w:rsidRDefault="002344FF" w:rsidP="00E143E6">
                  <w:pPr>
                    <w:spacing w:after="0" w:line="480" w:lineRule="auto"/>
                    <w:ind w:left="2268" w:right="2268"/>
                    <w:rPr>
                      <w:rFonts w:ascii="Arial" w:eastAsia="Times New Roman" w:hAnsi="Arial" w:cs="Arial"/>
                      <w:color w:val="606060"/>
                      <w:sz w:val="21"/>
                      <w:szCs w:val="21"/>
                      <w:lang w:eastAsia="de-CH"/>
                    </w:rPr>
                  </w:pPr>
                </w:p>
              </w:tc>
            </w:tr>
            <w:tr w:rsidR="002344FF" w:rsidRPr="002344FF" w:rsidTr="00D14048">
              <w:trPr>
                <w:tblCellSpacing w:w="0" w:type="dxa"/>
                <w:jc w:val="center"/>
              </w:trPr>
              <w:tc>
                <w:tcPr>
                  <w:tcW w:w="12144" w:type="dxa"/>
                  <w:gridSpan w:val="2"/>
                  <w:tcMar>
                    <w:top w:w="0" w:type="dxa"/>
                    <w:left w:w="0" w:type="dxa"/>
                    <w:bottom w:w="75" w:type="dxa"/>
                    <w:right w:w="0" w:type="dxa"/>
                  </w:tcMar>
                  <w:hideMark/>
                </w:tcPr>
                <w:p w:rsidR="002344FF" w:rsidRPr="002344FF" w:rsidRDefault="000D09AD" w:rsidP="00E143E6">
                  <w:pPr>
                    <w:spacing w:after="100" w:afterAutospacing="1" w:line="480" w:lineRule="auto"/>
                    <w:ind w:left="2268" w:right="2268" w:hanging="2268"/>
                    <w:rPr>
                      <w:rFonts w:ascii="Arial" w:eastAsia="Times New Roman" w:hAnsi="Arial" w:cs="Arial"/>
                      <w:color w:val="606060"/>
                      <w:sz w:val="21"/>
                      <w:szCs w:val="21"/>
                      <w:lang w:eastAsia="de-CH"/>
                    </w:rPr>
                  </w:pPr>
                  <w:r>
                    <w:rPr>
                      <w:rFonts w:ascii="Arial" w:eastAsia="Times New Roman" w:hAnsi="Arial" w:cs="Arial"/>
                      <w:color w:val="606060"/>
                      <w:sz w:val="21"/>
                      <w:szCs w:val="21"/>
                      <w:lang w:eastAsia="de-CH"/>
                    </w:rPr>
                    <w:t>S</w:t>
                  </w:r>
                  <w:r w:rsidR="002344FF" w:rsidRPr="002344FF">
                    <w:rPr>
                      <w:rFonts w:ascii="Arial" w:eastAsia="Times New Roman" w:hAnsi="Arial" w:cs="Arial"/>
                      <w:color w:val="606060"/>
                      <w:sz w:val="21"/>
                      <w:szCs w:val="21"/>
                      <w:lang w:eastAsia="de-CH"/>
                    </w:rPr>
                    <w:t xml:space="preserve">o wie Pflanzen oder Tiere brauchen auch unsere Beziehungen Fürsorge, Aufmerksamkeit und Nahrung. Indem wir unsere Liebe in die kleinen Dinge einfliessen lassen, stärkt dies die Liebe in der Art und Weise, wie wir mit anderen in Verbindung treten. </w:t>
                  </w:r>
                </w:p>
                <w:p w:rsidR="002344FF" w:rsidRPr="002344FF" w:rsidRDefault="002344FF" w:rsidP="00E143E6">
                  <w:pPr>
                    <w:spacing w:after="100" w:afterAutospacing="1" w:line="480" w:lineRule="auto"/>
                    <w:ind w:left="2266"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Erzengel </w:t>
                  </w: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bringt zwischenmenschliche Vergebung, Frieden und Gelassenheit und heilt Missverständnisse. </w:t>
                  </w: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kann uns dabei helfen, zu einer neuen Bewusstheit </w:t>
                  </w:r>
                  <w:proofErr w:type="spellStart"/>
                  <w:r w:rsidRPr="002344FF">
                    <w:rPr>
                      <w:rFonts w:ascii="Arial" w:eastAsia="Times New Roman" w:hAnsi="Arial" w:cs="Arial"/>
                      <w:color w:val="606060"/>
                      <w:sz w:val="21"/>
                      <w:szCs w:val="21"/>
                      <w:lang w:eastAsia="de-CH"/>
                    </w:rPr>
                    <w:t>im</w:t>
                  </w:r>
                  <w:proofErr w:type="spellEnd"/>
                  <w:r w:rsidRPr="002344FF">
                    <w:rPr>
                      <w:rFonts w:ascii="Arial" w:eastAsia="Times New Roman" w:hAnsi="Arial" w:cs="Arial"/>
                      <w:color w:val="606060"/>
                      <w:sz w:val="21"/>
                      <w:szCs w:val="21"/>
                      <w:lang w:eastAsia="de-CH"/>
                    </w:rPr>
                    <w:t xml:space="preserve"> Bezug auf alle unsere Beziehungen zu kommen. </w:t>
                  </w:r>
                </w:p>
                <w:p w:rsidR="002344FF" w:rsidRPr="002344FF"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Je mehr wir uns in uns selbst würdig fühlen, desto weniger haben wir das Gefühl, dass etwas in den Beziehungen mit anderen fehlt. Fähig zu sein, beide Seiten einer Situation zu sehen, bringt ein Gleichgewicht in jegliche darauffolgende Handlung. Es befindet sich auch ein starkes nicht-beurteilendes Element in </w:t>
                  </w: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Indem wir die Möglichkeit nicht-beurteilender Bewusstheit in uns aufnehmen, hilft uns dies auch dabei, andere nicht zu beurteilen. Dies ist die Rettung des </w:t>
                  </w:r>
                  <w:proofErr w:type="spellStart"/>
                  <w:r w:rsidRPr="002344FF">
                    <w:rPr>
                      <w:rFonts w:ascii="Arial" w:eastAsia="Times New Roman" w:hAnsi="Arial" w:cs="Arial"/>
                      <w:color w:val="606060"/>
                      <w:sz w:val="21"/>
                      <w:szCs w:val="21"/>
                      <w:lang w:eastAsia="de-CH"/>
                    </w:rPr>
                    <w:t>Korall</w:t>
                  </w:r>
                  <w:proofErr w:type="spellEnd"/>
                  <w:r w:rsidRPr="002344FF">
                    <w:rPr>
                      <w:rFonts w:ascii="Arial" w:eastAsia="Times New Roman" w:hAnsi="Arial" w:cs="Arial"/>
                      <w:color w:val="606060"/>
                      <w:sz w:val="21"/>
                      <w:szCs w:val="21"/>
                      <w:lang w:eastAsia="de-CH"/>
                    </w:rPr>
                    <w:t xml:space="preserve">. </w:t>
                  </w:r>
                </w:p>
                <w:p w:rsidR="00D4770D"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Die 114 ist auch ein Gateway zum Loslassen im Solarplexus, damit wir auf unserer Reise der Individuation voranschreiten können. </w:t>
                  </w:r>
                </w:p>
                <w:p w:rsidR="002344FF" w:rsidRPr="002344FF"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proofErr w:type="spellStart"/>
                  <w:r w:rsidRPr="002344FF">
                    <w:rPr>
                      <w:rFonts w:ascii="Arial" w:eastAsia="Times New Roman" w:hAnsi="Arial" w:cs="Arial"/>
                      <w:color w:val="606060"/>
                      <w:sz w:val="21"/>
                      <w:szCs w:val="21"/>
                      <w:lang w:eastAsia="de-CH"/>
                    </w:rPr>
                    <w:lastRenderedPageBreak/>
                    <w:t>Raguel</w:t>
                  </w:r>
                  <w:proofErr w:type="spellEnd"/>
                  <w:r w:rsidRPr="002344FF">
                    <w:rPr>
                      <w:rFonts w:ascii="Arial" w:eastAsia="Times New Roman" w:hAnsi="Arial" w:cs="Arial"/>
                      <w:color w:val="606060"/>
                      <w:sz w:val="21"/>
                      <w:szCs w:val="21"/>
                      <w:lang w:eastAsia="de-CH"/>
                    </w:rPr>
                    <w:t xml:space="preserve"> fordert uns dazu auf, von Moment zu Moment das Beste zu sein was wir können. Indem wir fürsorglich und sanft mit uns selbst umgehen, verbessern wir die Qualität in all unseren Beziehungen mit anderen. </w:t>
                  </w:r>
                </w:p>
                <w:p w:rsidR="002344FF" w:rsidRPr="002344FF"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kann uns dabei helfen, über Vergleiche hinauszuwachsen. Es ist wichtig für uns zu wissen, dass wir unseren Pfad ehren müssen. Ebenso ist es wichtig, den Pfad eines anderen zu ehren. Wir können </w:t>
                  </w:r>
                  <w:proofErr w:type="gramStart"/>
                  <w:r w:rsidRPr="002344FF">
                    <w:rPr>
                      <w:rFonts w:ascii="Arial" w:eastAsia="Times New Roman" w:hAnsi="Arial" w:cs="Arial"/>
                      <w:color w:val="606060"/>
                      <w:sz w:val="21"/>
                      <w:szCs w:val="21"/>
                      <w:lang w:eastAsia="de-CH"/>
                    </w:rPr>
                    <w:t>alle Teil</w:t>
                  </w:r>
                  <w:proofErr w:type="gramEnd"/>
                  <w:r w:rsidRPr="002344FF">
                    <w:rPr>
                      <w:rFonts w:ascii="Arial" w:eastAsia="Times New Roman" w:hAnsi="Arial" w:cs="Arial"/>
                      <w:color w:val="606060"/>
                      <w:sz w:val="21"/>
                      <w:szCs w:val="21"/>
                      <w:lang w:eastAsia="de-CH"/>
                    </w:rPr>
                    <w:t xml:space="preserve"> der Lösung sein, wenn wir einander ehren, wobei es sehr hilfreich sein kann, Vergleiche aufzuheben. Das Tiefmagenta erinnert uns immer daran, wie wir die Fürsorge und Wärme in die kleinen Dinge, diejenigen, welche wir normalerweise automatisch oder unbewusst tun, einfliessen lassen können. Hier im Speziellen </w:t>
                  </w:r>
                  <w:proofErr w:type="spellStart"/>
                  <w:r w:rsidRPr="002344FF">
                    <w:rPr>
                      <w:rFonts w:ascii="Arial" w:eastAsia="Times New Roman" w:hAnsi="Arial" w:cs="Arial"/>
                      <w:color w:val="606060"/>
                      <w:sz w:val="21"/>
                      <w:szCs w:val="21"/>
                      <w:lang w:eastAsia="de-CH"/>
                    </w:rPr>
                    <w:t>im</w:t>
                  </w:r>
                  <w:proofErr w:type="spellEnd"/>
                  <w:r w:rsidRPr="002344FF">
                    <w:rPr>
                      <w:rFonts w:ascii="Arial" w:eastAsia="Times New Roman" w:hAnsi="Arial" w:cs="Arial"/>
                      <w:color w:val="606060"/>
                      <w:sz w:val="21"/>
                      <w:szCs w:val="21"/>
                      <w:lang w:eastAsia="de-CH"/>
                    </w:rPr>
                    <w:t xml:space="preserve"> Bezug auf das </w:t>
                  </w:r>
                  <w:proofErr w:type="spellStart"/>
                  <w:r w:rsidRPr="002344FF">
                    <w:rPr>
                      <w:rFonts w:ascii="Arial" w:eastAsia="Times New Roman" w:hAnsi="Arial" w:cs="Arial"/>
                      <w:color w:val="606060"/>
                      <w:sz w:val="21"/>
                      <w:szCs w:val="21"/>
                      <w:lang w:eastAsia="de-CH"/>
                    </w:rPr>
                    <w:t>Mittelkorall</w:t>
                  </w:r>
                  <w:proofErr w:type="spellEnd"/>
                  <w:r w:rsidRPr="002344FF">
                    <w:rPr>
                      <w:rFonts w:ascii="Arial" w:eastAsia="Times New Roman" w:hAnsi="Arial" w:cs="Arial"/>
                      <w:color w:val="606060"/>
                      <w:sz w:val="21"/>
                      <w:szCs w:val="21"/>
                      <w:lang w:eastAsia="de-CH"/>
                    </w:rPr>
                    <w:t xml:space="preserve">, </w:t>
                  </w:r>
                </w:p>
                <w:p w:rsidR="00D4770D"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Bei </w:t>
                  </w: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geht es um Gerechtigkeit und Harmonie in Beziehungen, insbesondere in zwischenmenschlichen Handlungen. In Situationen, in denen wir ungefragt unseren Rat oder unsere Meinung mitteilen, kann dies für den anderen störend sein, und hier unterstützt und </w:t>
                  </w: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dabei, zu warten, bis wir gefragt werden, um wirklich einem Grundsatz von Aura-Soma zu folgen: „keine </w:t>
                  </w:r>
                </w:p>
                <w:p w:rsidR="002344FF" w:rsidRPr="002344FF"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Einmischung“. </w:t>
                  </w:r>
                  <w:proofErr w:type="spellStart"/>
                  <w:r w:rsidRPr="002344FF">
                    <w:rPr>
                      <w:rFonts w:ascii="Arial" w:eastAsia="Times New Roman" w:hAnsi="Arial" w:cs="Arial"/>
                      <w:color w:val="606060"/>
                      <w:sz w:val="21"/>
                      <w:szCs w:val="21"/>
                      <w:lang w:eastAsia="de-CH"/>
                    </w:rPr>
                    <w:t>Raguel</w:t>
                  </w:r>
                  <w:proofErr w:type="spellEnd"/>
                  <w:r w:rsidRPr="002344FF">
                    <w:rPr>
                      <w:rFonts w:ascii="Arial" w:eastAsia="Times New Roman" w:hAnsi="Arial" w:cs="Arial"/>
                      <w:color w:val="606060"/>
                      <w:sz w:val="21"/>
                      <w:szCs w:val="21"/>
                      <w:lang w:eastAsia="de-CH"/>
                    </w:rPr>
                    <w:t xml:space="preserve"> bietet uns urteilsfreie Bewusstheit an, damit wir anderen den Raum geben können, </w:t>
                  </w:r>
                  <w:proofErr w:type="gramStart"/>
                  <w:r w:rsidRPr="002344FF">
                    <w:rPr>
                      <w:rFonts w:ascii="Arial" w:eastAsia="Times New Roman" w:hAnsi="Arial" w:cs="Arial"/>
                      <w:color w:val="606060"/>
                      <w:sz w:val="21"/>
                      <w:szCs w:val="21"/>
                      <w:lang w:eastAsia="de-CH"/>
                    </w:rPr>
                    <w:t>den</w:t>
                  </w:r>
                  <w:proofErr w:type="gramEnd"/>
                  <w:r w:rsidRPr="002344FF">
                    <w:rPr>
                      <w:rFonts w:ascii="Arial" w:eastAsia="Times New Roman" w:hAnsi="Arial" w:cs="Arial"/>
                      <w:color w:val="606060"/>
                      <w:sz w:val="21"/>
                      <w:szCs w:val="21"/>
                      <w:lang w:eastAsia="de-CH"/>
                    </w:rPr>
                    <w:t xml:space="preserve"> sie brauchen, um zu ihrer eigenen Einsicht und Wahrheit zu kommen, und ihnen nichts aufzudrängen. </w:t>
                  </w:r>
                </w:p>
                <w:p w:rsidR="002344FF" w:rsidRPr="002344FF" w:rsidRDefault="002344FF" w:rsidP="00E143E6">
                  <w:pPr>
                    <w:spacing w:after="100" w:afterAutospacing="1"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 </w:t>
                  </w:r>
                </w:p>
              </w:tc>
            </w:tr>
            <w:tr w:rsidR="002344FF" w:rsidRPr="002344FF" w:rsidTr="00D14048">
              <w:trPr>
                <w:tblCellSpacing w:w="0" w:type="dxa"/>
                <w:jc w:val="center"/>
              </w:trPr>
              <w:tc>
                <w:tcPr>
                  <w:tcW w:w="12144" w:type="dxa"/>
                  <w:gridSpan w:val="2"/>
                  <w:tcMar>
                    <w:top w:w="75" w:type="dxa"/>
                    <w:left w:w="0" w:type="dxa"/>
                    <w:bottom w:w="75" w:type="dxa"/>
                    <w:right w:w="0" w:type="dxa"/>
                  </w:tcMar>
                  <w:hideMark/>
                </w:tcPr>
                <w:p w:rsidR="002344FF" w:rsidRPr="002344FF" w:rsidRDefault="002344FF" w:rsidP="00E143E6">
                  <w:pPr>
                    <w:spacing w:after="0"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lastRenderedPageBreak/>
                    <w:t xml:space="preserve">Wie immer in der Energie der Liebe </w:t>
                  </w:r>
                </w:p>
                <w:p w:rsidR="002344FF" w:rsidRPr="002344FF" w:rsidRDefault="002344FF" w:rsidP="00E143E6">
                  <w:pPr>
                    <w:spacing w:after="0" w:line="480" w:lineRule="auto"/>
                    <w:ind w:left="2268" w:right="2268" w:hanging="2268"/>
                    <w:rPr>
                      <w:rFonts w:ascii="Arial" w:eastAsia="Times New Roman" w:hAnsi="Arial" w:cs="Arial"/>
                      <w:color w:val="606060"/>
                      <w:sz w:val="21"/>
                      <w:szCs w:val="21"/>
                      <w:lang w:eastAsia="de-CH"/>
                    </w:rPr>
                  </w:pPr>
                  <w:r w:rsidRPr="002344FF">
                    <w:rPr>
                      <w:rFonts w:ascii="Arial" w:eastAsia="Times New Roman" w:hAnsi="Arial" w:cs="Arial"/>
                      <w:noProof/>
                      <w:color w:val="606060"/>
                      <w:sz w:val="21"/>
                      <w:szCs w:val="21"/>
                      <w:lang w:eastAsia="de-CH"/>
                    </w:rPr>
                    <w:drawing>
                      <wp:inline distT="0" distB="0" distL="0" distR="0" wp14:anchorId="1477EEF8" wp14:editId="44057E67">
                        <wp:extent cx="1266825" cy="666750"/>
                        <wp:effectExtent l="0" t="0" r="9525" b="0"/>
                        <wp:docPr id="5" name="Bild 10" descr="http://www.asiact.org/downloads/Emails/Images/Mike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iact.org/downloads/Emails/Images/Mike_S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p>
              </w:tc>
            </w:tr>
            <w:tr w:rsidR="002344FF" w:rsidRPr="002344FF" w:rsidTr="00D14048">
              <w:trPr>
                <w:trHeight w:val="30"/>
                <w:tblCellSpacing w:w="0" w:type="dxa"/>
                <w:jc w:val="center"/>
              </w:trPr>
              <w:tc>
                <w:tcPr>
                  <w:tcW w:w="12144" w:type="dxa"/>
                  <w:gridSpan w:val="2"/>
                  <w:tcBorders>
                    <w:bottom w:val="single" w:sz="6" w:space="0" w:color="0653A2"/>
                  </w:tcBorders>
                  <w:vAlign w:val="center"/>
                  <w:hideMark/>
                </w:tcPr>
                <w:p w:rsidR="002344FF" w:rsidRPr="002344FF" w:rsidRDefault="002344FF" w:rsidP="00E143E6">
                  <w:pPr>
                    <w:spacing w:after="0" w:line="480" w:lineRule="auto"/>
                    <w:ind w:left="2268" w:right="2268" w:hanging="2268"/>
                    <w:jc w:val="center"/>
                    <w:rPr>
                      <w:rFonts w:ascii="Arial" w:eastAsia="Times New Roman" w:hAnsi="Arial" w:cs="Arial"/>
                      <w:color w:val="606060"/>
                      <w:sz w:val="21"/>
                      <w:szCs w:val="21"/>
                      <w:lang w:eastAsia="de-CH"/>
                    </w:rPr>
                  </w:pPr>
                  <w:r w:rsidRPr="002344FF">
                    <w:rPr>
                      <w:rFonts w:ascii="Arial" w:eastAsia="Times New Roman" w:hAnsi="Arial" w:cs="Arial"/>
                      <w:color w:val="606060"/>
                      <w:sz w:val="21"/>
                      <w:szCs w:val="21"/>
                      <w:lang w:eastAsia="de-CH"/>
                    </w:rPr>
                    <w:t xml:space="preserve">  </w:t>
                  </w:r>
                </w:p>
              </w:tc>
            </w:tr>
          </w:tbl>
          <w:p w:rsidR="002344FF" w:rsidRPr="002344FF" w:rsidRDefault="002344FF" w:rsidP="00E143E6">
            <w:pPr>
              <w:spacing w:after="0" w:line="480" w:lineRule="auto"/>
              <w:ind w:left="2268" w:right="2268"/>
              <w:jc w:val="center"/>
              <w:rPr>
                <w:rFonts w:ascii="Arial" w:eastAsia="Times New Roman" w:hAnsi="Arial" w:cs="Arial"/>
                <w:color w:val="606060"/>
                <w:sz w:val="21"/>
                <w:szCs w:val="21"/>
                <w:lang w:eastAsia="de-CH"/>
              </w:rPr>
            </w:pPr>
          </w:p>
        </w:tc>
      </w:tr>
    </w:tbl>
    <w:p w:rsidR="00C647F8" w:rsidRDefault="00C647F8" w:rsidP="00E143E6">
      <w:pPr>
        <w:ind w:left="2268" w:right="2268"/>
      </w:pPr>
    </w:p>
    <w:sectPr w:rsidR="00C647F8" w:rsidSect="00E143E6">
      <w:pgSz w:w="11906" w:h="16838"/>
      <w:pgMar w:top="993" w:right="0" w:bottom="426"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003" w:rsidRDefault="00D41003" w:rsidP="00D4770D">
      <w:pPr>
        <w:spacing w:after="0" w:line="240" w:lineRule="auto"/>
      </w:pPr>
      <w:r>
        <w:separator/>
      </w:r>
    </w:p>
  </w:endnote>
  <w:endnote w:type="continuationSeparator" w:id="0">
    <w:p w:rsidR="00D41003" w:rsidRDefault="00D41003" w:rsidP="00D4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003" w:rsidRDefault="00D41003" w:rsidP="00D4770D">
      <w:pPr>
        <w:spacing w:after="0" w:line="240" w:lineRule="auto"/>
      </w:pPr>
      <w:r>
        <w:separator/>
      </w:r>
    </w:p>
  </w:footnote>
  <w:footnote w:type="continuationSeparator" w:id="0">
    <w:p w:rsidR="00D41003" w:rsidRDefault="00D41003" w:rsidP="00D47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FF"/>
    <w:rsid w:val="000D09AD"/>
    <w:rsid w:val="001B0AB5"/>
    <w:rsid w:val="001C729D"/>
    <w:rsid w:val="002344FF"/>
    <w:rsid w:val="00360B06"/>
    <w:rsid w:val="004C5572"/>
    <w:rsid w:val="004E1C77"/>
    <w:rsid w:val="00532DEF"/>
    <w:rsid w:val="007A1F18"/>
    <w:rsid w:val="00AD1275"/>
    <w:rsid w:val="00C647F8"/>
    <w:rsid w:val="00D14048"/>
    <w:rsid w:val="00D41003"/>
    <w:rsid w:val="00D4770D"/>
    <w:rsid w:val="00DB70BE"/>
    <w:rsid w:val="00E143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E129"/>
  <w15:chartTrackingRefBased/>
  <w15:docId w15:val="{49969EA1-7371-4CB5-ABE4-C54B4087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77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770D"/>
    <w:rPr>
      <w:rFonts w:ascii="Segoe UI" w:hAnsi="Segoe UI" w:cs="Segoe UI"/>
      <w:sz w:val="18"/>
      <w:szCs w:val="18"/>
    </w:rPr>
  </w:style>
  <w:style w:type="paragraph" w:styleId="Kopfzeile">
    <w:name w:val="header"/>
    <w:basedOn w:val="Standard"/>
    <w:link w:val="KopfzeileZchn"/>
    <w:uiPriority w:val="99"/>
    <w:unhideWhenUsed/>
    <w:rsid w:val="00D47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70D"/>
  </w:style>
  <w:style w:type="paragraph" w:styleId="Fuzeile">
    <w:name w:val="footer"/>
    <w:basedOn w:val="Standard"/>
    <w:link w:val="FuzeileZchn"/>
    <w:uiPriority w:val="99"/>
    <w:unhideWhenUsed/>
    <w:rsid w:val="00D47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ia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904A-7A9E-421F-B68F-7B3E114F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Hans-Rudolf Voegele</dc:creator>
  <cp:keywords/>
  <dc:description/>
  <cp:lastModifiedBy>Hans-Rudolf Voegele</cp:lastModifiedBy>
  <cp:revision>8</cp:revision>
  <cp:lastPrinted>2016-12-06T09:13:00Z</cp:lastPrinted>
  <dcterms:created xsi:type="dcterms:W3CDTF">2015-11-11T14:04:00Z</dcterms:created>
  <dcterms:modified xsi:type="dcterms:W3CDTF">2019-03-19T12:42:00Z</dcterms:modified>
</cp:coreProperties>
</file>